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tabs>
          <w:tab w:val="left" w:leader="none" w:pos="2023"/>
        </w:tabs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alibri" w:cs="Calibri" w:eastAsia="Calibri" w:hAnsi="Calibri"/>
          <w:b w:val="1"/>
          <w:bCs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8"/>
          <w:szCs w:val="28"/>
          <w:rtl w:val="0"/>
        </w:rPr>
        <w:t xml:space="preserve">FIȘA DISCIPLINEI</w:t>
      </w:r>
    </w:p>
    <w:p w:rsidR="00000000" w:rsidDel="00000000" w:rsidP="00000000" w:rsidRDefault="00000000" w:rsidRPr="00000000" w14:paraId="00000003">
      <w:pPr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program</w:t>
      </w:r>
    </w:p>
    <w:tbl>
      <w:tblPr>
        <w:tblStyle w:val="Table1"/>
        <w:tblW w:w="934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564"/>
        <w:gridCol w:w="5780"/>
        <w:tblGridChange w:id="0">
          <w:tblGrid>
            <w:gridCol w:w="3564"/>
            <w:gridCol w:w="5780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numPr>
                <w:ilvl w:val="1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Instituția de învățământ superior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Universitatea de Vest din Timișoara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1.2 Facultatea /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Facultatea de Psihologie și 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1.3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1.4 Domeniul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1.5 Ciclul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Licență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1.6 Programul de studii / Calificarea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Psihopedagogie specială</w:t>
            </w:r>
          </w:p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• Psiholog in specialitatea psihopedagogie speciala - Cod COR 263408 </w:t>
            </w:r>
          </w:p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• Profesor Psihopedagog - Cod COR 263412 </w:t>
            </w:r>
          </w:p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• Logoped - Cod COR 226603 </w:t>
            </w:r>
          </w:p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• Cercetator in psihopedagogie speciala – Cod COR 263417 </w:t>
            </w:r>
          </w:p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• Consilier școlar – Cod COR 235903</w:t>
            </w:r>
          </w:p>
        </w:tc>
      </w:tr>
    </w:tbl>
    <w:p w:rsidR="00000000" w:rsidDel="00000000" w:rsidP="00000000" w:rsidRDefault="00000000" w:rsidRPr="00000000" w14:paraId="00000016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disciplină</w:t>
      </w:r>
    </w:p>
    <w:tbl>
      <w:tblPr>
        <w:tblStyle w:val="Table2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43"/>
        <w:gridCol w:w="567"/>
        <w:gridCol w:w="1418"/>
        <w:gridCol w:w="283"/>
        <w:gridCol w:w="567"/>
        <w:gridCol w:w="1651"/>
        <w:gridCol w:w="591"/>
        <w:gridCol w:w="1839"/>
        <w:gridCol w:w="630"/>
        <w:tblGridChange w:id="0">
          <w:tblGrid>
            <w:gridCol w:w="1843"/>
            <w:gridCol w:w="567"/>
            <w:gridCol w:w="1418"/>
            <w:gridCol w:w="283"/>
            <w:gridCol w:w="567"/>
            <w:gridCol w:w="1651"/>
            <w:gridCol w:w="591"/>
            <w:gridCol w:w="1839"/>
            <w:gridCol w:w="630"/>
          </w:tblGrid>
        </w:tblGridChange>
      </w:tblGrid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2.1 Denumirea disciplinei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Educația incluziva a copiilor cu CES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2.2 Titularul activităților de curs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Conf. univ. dr. Sorin Vlad Predescu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2.3 Titularul activităților de seminar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Asist. univ. drd. Andra Jurca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2.4 Anul de studiu</w:t>
            </w:r>
          </w:p>
        </w:tc>
        <w:tc>
          <w:tcPr/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III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2.5 Semestrul</w:t>
            </w:r>
          </w:p>
        </w:tc>
        <w:tc>
          <w:tcPr/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108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2.6 Tipul de evaluare</w:t>
            </w:r>
          </w:p>
        </w:tc>
        <w:tc>
          <w:tcPr/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</w:t>
            </w:r>
          </w:p>
        </w:tc>
        <w:tc>
          <w:tcPr/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42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2.7 Regimul disciplinei</w:t>
            </w:r>
          </w:p>
        </w:tc>
        <w:tc>
          <w:tcPr/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C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Timpul total estimat (ore pe semestru al activităților didactice)</w:t>
      </w:r>
    </w:p>
    <w:tbl>
      <w:tblPr>
        <w:tblStyle w:val="Table3"/>
        <w:tblW w:w="934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525"/>
        <w:gridCol w:w="570"/>
        <w:gridCol w:w="300"/>
        <w:gridCol w:w="1530"/>
        <w:gridCol w:w="585"/>
        <w:gridCol w:w="2310"/>
        <w:gridCol w:w="525"/>
        <w:tblGridChange w:id="0">
          <w:tblGrid>
            <w:gridCol w:w="3525"/>
            <w:gridCol w:w="570"/>
            <w:gridCol w:w="300"/>
            <w:gridCol w:w="1530"/>
            <w:gridCol w:w="585"/>
            <w:gridCol w:w="2310"/>
            <w:gridCol w:w="52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3.1 Număr de ore pe săptămână</w:t>
            </w:r>
          </w:p>
        </w:tc>
        <w:tc>
          <w:tcPr/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3.2 curs</w:t>
            </w:r>
          </w:p>
        </w:tc>
        <w:tc>
          <w:tcPr/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3.3 seminar/laborator</w:t>
            </w:r>
          </w:p>
        </w:tc>
        <w:tc>
          <w:tcPr/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3.4 Total ore din planul de învățământ</w:t>
            </w:r>
          </w:p>
        </w:tc>
        <w:tc>
          <w:tcPr/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36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3.5 curs</w:t>
            </w:r>
          </w:p>
        </w:tc>
        <w:tc>
          <w:tcPr/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24</w:t>
            </w:r>
          </w:p>
        </w:tc>
        <w:tc>
          <w:tcPr/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3.6 seminar/laborator</w:t>
            </w:r>
          </w:p>
        </w:tc>
        <w:tc>
          <w:tcPr/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12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Distribuția fondului de timp:</w:t>
            </w:r>
          </w:p>
        </w:tc>
        <w:tc>
          <w:tcPr/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ore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Studiul după manual, suport de curs, bibliografie și notițe</w:t>
            </w:r>
          </w:p>
        </w:tc>
        <w:tc>
          <w:tcPr/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30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Documentare suplimentară în bibliotecă, pe platformele electronice de specialitate / pe teren</w:t>
            </w:r>
          </w:p>
        </w:tc>
        <w:tc>
          <w:tcPr/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25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Pregătire seminare / laboratoare, teme, referate, portofolii și eseuri</w:t>
            </w:r>
          </w:p>
        </w:tc>
        <w:tc>
          <w:tcPr/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Tutorat</w:t>
            </w:r>
          </w:p>
        </w:tc>
        <w:tc>
          <w:tcPr/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Examinări</w:t>
            </w:r>
          </w:p>
        </w:tc>
        <w:tc>
          <w:tcPr/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Alte activități</w:t>
            </w:r>
          </w:p>
        </w:tc>
        <w:tc>
          <w:tcPr/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3.7 Total ore studiu individual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6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sz w:val="22"/>
                <w:szCs w:val="22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3.8 Total ore pe semestru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100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3.9 Numărul de credite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</w:tr>
    </w:tbl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Precondiții (acolo unde este cazul)</w:t>
      </w:r>
    </w:p>
    <w:tbl>
      <w:tblPr>
        <w:tblStyle w:val="Table4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85"/>
        <w:gridCol w:w="7404"/>
        <w:tblGridChange w:id="0">
          <w:tblGrid>
            <w:gridCol w:w="1985"/>
            <w:gridCol w:w="740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4.1 de curriculum</w:t>
            </w:r>
          </w:p>
        </w:tc>
        <w:tc>
          <w:tcPr/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Fundamentele pedagogiei, Fundamentele psihopedagogiei speciale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4.2 de competențe</w:t>
            </w:r>
          </w:p>
        </w:tc>
        <w:tc>
          <w:tcPr/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Condiții (acolo unde este cazul)</w:t>
      </w:r>
    </w:p>
    <w:tbl>
      <w:tblPr>
        <w:tblStyle w:val="Table5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565"/>
        <w:gridCol w:w="4824"/>
        <w:tblGridChange w:id="0">
          <w:tblGrid>
            <w:gridCol w:w="4565"/>
            <w:gridCol w:w="48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5.1 de desfășurare a cursului</w:t>
            </w:r>
          </w:p>
        </w:tc>
        <w:tc>
          <w:tcPr/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Nu e cazul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5.2 de desfășurare a seminarului / laboratorului</w:t>
            </w:r>
          </w:p>
        </w:tc>
        <w:tc>
          <w:tcPr/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Sala de seminar conform orarului,</w:t>
            </w:r>
          </w:p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Logare pe platforma Google Classroom, 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70c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cod: 4gtaznta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3">
      <w:pPr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Obiectivele disciplinei - rezultate așteptate ale învățării la formarea cărora contribuie parcurgerea și promovarea disciplinei</w:t>
      </w:r>
    </w:p>
    <w:tbl>
      <w:tblPr>
        <w:tblStyle w:val="Table6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699"/>
        <w:gridCol w:w="7690"/>
        <w:tblGridChange w:id="0">
          <w:tblGrid>
            <w:gridCol w:w="1699"/>
            <w:gridCol w:w="7690"/>
          </w:tblGrid>
        </w:tblGridChange>
      </w:tblGrid>
      <w:tr>
        <w:trPr>
          <w:cantSplit w:val="1"/>
          <w:trHeight w:val="89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Cunoștințe</w:t>
            </w:r>
          </w:p>
        </w:tc>
        <w:tc>
          <w:tcPr/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ESRC6. Studentul va putea să analizeze și să interpreteze critic paradigmele emancipatoare,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58" w:before="0" w:line="240" w:lineRule="auto"/>
              <w:ind w:left="720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ESRC4. Studentul va putea să explice și să interpreteze critic principiile, obiectivele și etapele intervențiilor psihopedagogice, ale terapiilor complexe și ale consilierii persoanelor cu dizabilități;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3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Abilități</w:t>
            </w:r>
          </w:p>
        </w:tc>
        <w:tc>
          <w:tcPr/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ESRA5. Studentul va putea să creeze, să planifice și să aplice programe de instruire, lecții și planuri educaționale individualizate pentru elevii cu dizabilități;</w:t>
            </w:r>
          </w:p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ESRA7. Studentul va putea să organizeze predarea de discipline școlare și crearea de programe pentru dezvoltarea abilităților practice și de autonomie personală pentru elevii cu dizabilități.</w:t>
            </w:r>
          </w:p>
        </w:tc>
      </w:tr>
      <w:tr>
        <w:trPr>
          <w:cantSplit w:val="1"/>
          <w:trHeight w:val="98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Responsabilitate și autonomie</w:t>
            </w:r>
          </w:p>
        </w:tc>
        <w:tc>
          <w:tcPr/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ESRRA6. Promovarea și militarea pentru integrarea socială, școlară și profesională a persoanelor cu dizabilități;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ESRRA4. Promovarea non-discriminării și a echității în societate.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E">
      <w:pPr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Conținuturi</w:t>
      </w:r>
    </w:p>
    <w:p w:rsidR="00000000" w:rsidDel="00000000" w:rsidP="00000000" w:rsidRDefault="00000000" w:rsidRPr="00000000" w14:paraId="000000A0">
      <w:pPr>
        <w:spacing w:line="276" w:lineRule="auto"/>
        <w:ind w:left="714" w:firstLine="0"/>
        <w:jc w:val="both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Platforma prin care pot fi accesate suportul de curs în format electronic și alte resurse de învățare/bibliografice:  Google Classroom</w:t>
      </w:r>
    </w:p>
    <w:p w:rsidR="00000000" w:rsidDel="00000000" w:rsidP="00000000" w:rsidRDefault="00000000" w:rsidRPr="00000000" w14:paraId="000000A1">
      <w:pPr>
        <w:spacing w:line="276" w:lineRule="auto"/>
        <w:ind w:left="714" w:firstLine="0"/>
        <w:jc w:val="both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10433.000000000002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5272"/>
        <w:gridCol w:w="3272"/>
        <w:gridCol w:w="1889"/>
        <w:tblGridChange w:id="0">
          <w:tblGrid>
            <w:gridCol w:w="5272"/>
            <w:gridCol w:w="3272"/>
            <w:gridCol w:w="188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Curs</w:t>
            </w:r>
          </w:p>
        </w:tc>
        <w:tc>
          <w:tcPr/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Metode de predare</w:t>
            </w:r>
          </w:p>
        </w:tc>
        <w:tc>
          <w:tcPr/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Observaţii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5">
            <w:pPr>
              <w:numPr>
                <w:ilvl w:val="0"/>
                <w:numId w:val="6"/>
              </w:numPr>
              <w:ind w:left="885" w:hanging="762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Ce este şi cum a apărut conceptul de educaţie incluzivă- premise ideologice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/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8">
            <w:pPr>
              <w:numPr>
                <w:ilvl w:val="0"/>
                <w:numId w:val="6"/>
              </w:numPr>
              <w:ind w:left="885" w:hanging="762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Conceptele de recuperare, integrare, terapie, normalizare si incluziune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/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B">
            <w:pPr>
              <w:numPr>
                <w:ilvl w:val="0"/>
                <w:numId w:val="6"/>
              </w:numPr>
              <w:ind w:left="885" w:hanging="762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Perspectiva psihologică, pedagogică şi socială asupra integrării și icluziunii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C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E">
            <w:pPr>
              <w:numPr>
                <w:ilvl w:val="0"/>
                <w:numId w:val="6"/>
              </w:numPr>
              <w:ind w:left="885" w:hanging="762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Integrare vs segregare, incluziune vs. excluziune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F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1">
            <w:pPr>
              <w:numPr>
                <w:ilvl w:val="0"/>
                <w:numId w:val="6"/>
              </w:numPr>
              <w:ind w:left="885" w:hanging="762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Politici publice în educaţia incluziva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2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4">
            <w:pPr>
              <w:numPr>
                <w:ilvl w:val="0"/>
                <w:numId w:val="6"/>
              </w:numPr>
              <w:ind w:left="885" w:hanging="762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Legislaţia educaţiei incluzive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5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7">
            <w:pPr>
              <w:numPr>
                <w:ilvl w:val="0"/>
                <w:numId w:val="6"/>
              </w:numPr>
              <w:ind w:left="885" w:hanging="762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Factorii responsabili de procesul educaţional în condiţiile educaţiei integrate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8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A">
            <w:pPr>
              <w:numPr>
                <w:ilvl w:val="0"/>
                <w:numId w:val="6"/>
              </w:numPr>
              <w:ind w:left="885" w:hanging="762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Repere strategice pentru alcătuirea unui curriculum în condiţiile educaţiei incluzive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B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D">
            <w:pPr>
              <w:numPr>
                <w:ilvl w:val="0"/>
                <w:numId w:val="6"/>
              </w:numPr>
              <w:ind w:left="885" w:hanging="762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Posibile soluţii privind integrarea şcolară pentru principalele categorii de copii cu cerinţe educative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E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0">
            <w:pPr>
              <w:numPr>
                <w:ilvl w:val="0"/>
                <w:numId w:val="6"/>
              </w:numPr>
              <w:ind w:left="885" w:hanging="762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Etapele procesului de introducere pe scară largă a educaţiei incluzive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1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02" w:righ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Bibliografie: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02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02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Bernat, S.E., (2003),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Tehnica învăţării eficiente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Presa Universitara Clujeana, Cluj-Napoca.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02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Cerghit, I., (2002),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Sisteme de instruire alternative şi complementare. Structuri,stiluri şi strategii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Editura Aramis, Bucureşti.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7">
            <w:pPr>
              <w:numPr>
                <w:ilvl w:val="0"/>
                <w:numId w:val="7"/>
              </w:numPr>
              <w:ind w:left="502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Gherguţ, A.,Cozma, T. (2000). 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color w:val="000000"/>
                <w:sz w:val="22"/>
                <w:szCs w:val="22"/>
                <w:rtl w:val="0"/>
              </w:rPr>
              <w:t xml:space="preserve">Introducere în problematica educaţiei integrate</w:t>
            </w: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, Editura Spiru Haret, Iaşi,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8">
            <w:pPr>
              <w:numPr>
                <w:ilvl w:val="0"/>
                <w:numId w:val="7"/>
              </w:numPr>
              <w:ind w:left="502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Gherguţ, A. (2001). 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color w:val="000000"/>
                <w:sz w:val="22"/>
                <w:szCs w:val="22"/>
                <w:rtl w:val="0"/>
              </w:rPr>
              <w:t xml:space="preserve">Psihopedagogia persoanelor cu cerinte speciale. Strategii de educaţie integrata</w:t>
            </w: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. Editura Polirom, Iaşi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9">
            <w:pPr>
              <w:numPr>
                <w:ilvl w:val="0"/>
                <w:numId w:val="7"/>
              </w:numPr>
              <w:ind w:left="502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Gherguț, A, Frumos, L., Raus.G. (2019).Educația specială- ghid metodologic. Editura Polirom, Iaşi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A">
            <w:pPr>
              <w:numPr>
                <w:ilvl w:val="0"/>
                <w:numId w:val="7"/>
              </w:numPr>
              <w:ind w:left="502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Hoară, A.S. (2021) 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color w:val="000000"/>
                <w:sz w:val="22"/>
                <w:szCs w:val="22"/>
                <w:rtl w:val="0"/>
              </w:rPr>
              <w:t xml:space="preserve">Educația incluzivă</w:t>
            </w: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. Tritonic, București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B">
            <w:pPr>
              <w:numPr>
                <w:ilvl w:val="0"/>
                <w:numId w:val="7"/>
              </w:numPr>
              <w:ind w:left="502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Manea, A.D. (2020) 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sz w:val="22"/>
                <w:szCs w:val="22"/>
                <w:rtl w:val="0"/>
              </w:rPr>
              <w:t xml:space="preserve">Educația incluzivă.Teorie și aplicații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. Ed.Scoala Ardeleană, Cluj-Napoca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C">
            <w:pPr>
              <w:numPr>
                <w:ilvl w:val="0"/>
                <w:numId w:val="7"/>
              </w:numPr>
              <w:ind w:left="502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Muşu, I. Taflan, A (1997) 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sz w:val="22"/>
                <w:szCs w:val="22"/>
                <w:rtl w:val="0"/>
              </w:rPr>
              <w:t xml:space="preserve">Terapia educaţională integrată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, Bucureşti, Pro Humanitate</w:t>
            </w: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502" w:right="0" w:hanging="36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Ungureanu, D. (2000).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Educatia integrată si şcoala inclusivă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Editura de Vest, Timişoara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E">
            <w:pPr>
              <w:numPr>
                <w:ilvl w:val="0"/>
                <w:numId w:val="7"/>
              </w:numPr>
              <w:ind w:left="502" w:hanging="360"/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Vrăsmaș, T. (2001). 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color w:val="000000"/>
                <w:sz w:val="22"/>
                <w:szCs w:val="22"/>
                <w:rtl w:val="0"/>
              </w:rPr>
              <w:t xml:space="preserve">Învăţământul integrat si/sau incluziv</w:t>
            </w: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rtl w:val="0"/>
              </w:rPr>
              <w:t xml:space="preserve">, Editura ARAMIS, Bucuresti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F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10348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970"/>
        <w:gridCol w:w="3685"/>
        <w:gridCol w:w="2693"/>
        <w:tblGridChange w:id="0">
          <w:tblGrid>
            <w:gridCol w:w="3970"/>
            <w:gridCol w:w="3685"/>
            <w:gridCol w:w="2693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Seminar</w:t>
            </w:r>
          </w:p>
        </w:tc>
        <w:tc>
          <w:tcPr/>
          <w:p w:rsidR="00000000" w:rsidDel="00000000" w:rsidP="00000000" w:rsidRDefault="00000000" w:rsidRPr="00000000" w14:paraId="000000D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Metode de predare</w:t>
            </w:r>
          </w:p>
        </w:tc>
        <w:tc>
          <w:tcPr/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Observaţii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6">
            <w:pPr>
              <w:ind w:left="123" w:firstLine="0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1. Seminar organizatoric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7">
            <w:pPr>
              <w:ind w:left="123" w:firstLine="0"/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/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Prezentarea modalităților de evaluare și a tematicilor;</w:t>
            </w:r>
          </w:p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Evaluare inițială; Activități de cunoaștere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B">
            <w:pPr>
              <w:ind w:left="123" w:firstLine="0"/>
              <w:jc w:val="both"/>
              <w:rPr/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2. Delimitări conceptuale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problematizarea, dezbatere, munca pe grupe</w:t>
            </w:r>
          </w:p>
        </w:tc>
        <w:tc>
          <w:tcPr/>
          <w:p w:rsidR="00000000" w:rsidDel="00000000" w:rsidP="00000000" w:rsidRDefault="00000000" w:rsidRPr="00000000" w14:paraId="000000D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Dezbaterea și aprofundarea conceptelor de bază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E">
            <w:pPr>
              <w:ind w:left="123" w:firstLine="0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3. Incluziune vs integrare din mai multe perspective, precum: psihologică, pedagogică şi socială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F">
            <w:pPr>
              <w:jc w:val="both"/>
              <w:rPr/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Expunerea, conversația euristică, problematizarea, dezbatere, munca pe grupe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Analizarea din multiple perspective a incluziunii și integrării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1">
            <w:pPr>
              <w:ind w:left="123" w:firstLine="0"/>
              <w:jc w:val="both"/>
              <w:rPr/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4. Incluziunea școlară. Școala incluzivă: culturi, politici, practici incluzive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2">
            <w:pPr>
              <w:jc w:val="both"/>
              <w:rPr/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Expunerea, conversația euristică, problematizarea, exercițiul, munca pe grupe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Seminar aplicativ;</w:t>
            </w:r>
          </w:p>
          <w:p w:rsidR="00000000" w:rsidDel="00000000" w:rsidP="00000000" w:rsidRDefault="00000000" w:rsidRPr="00000000" w14:paraId="000000E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Prezentare interviuri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5">
            <w:pPr>
              <w:ind w:left="123" w:firstLine="0"/>
              <w:jc w:val="both"/>
              <w:rPr/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5. Analizarea factorilor responsabili de procesul educațional incluziv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6">
            <w:pPr>
              <w:jc w:val="both"/>
              <w:rPr/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Expunerea, conversația euristică, problematizarea, munca pe grupe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Selectarea factorilor pornind de la exemple practice;</w:t>
            </w:r>
          </w:p>
          <w:p w:rsidR="00000000" w:rsidDel="00000000" w:rsidP="00000000" w:rsidRDefault="00000000" w:rsidRPr="00000000" w14:paraId="000000E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Prezentare interviuri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9">
            <w:pPr>
              <w:ind w:left="123" w:firstLine="0"/>
              <w:jc w:val="both"/>
              <w:rPr/>
            </w:pPr>
            <w:r w:rsidDel="00000000" w:rsidR="00000000" w:rsidRPr="00000000">
              <w:rPr>
                <w:color w:val="000000"/>
                <w:sz w:val="22"/>
                <w:szCs w:val="22"/>
                <w:rtl w:val="0"/>
              </w:rPr>
              <w:t xml:space="preserve">6. Recomandări privind îmbunătățirea educației incluzive. 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A">
            <w:pPr>
              <w:jc w:val="both"/>
              <w:rPr/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Expunerea, conversația euristică, problematizarea, munca pe grupe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Identificarea sugestiilor de îmbunătățire a educației incluzive; </w:t>
            </w:r>
          </w:p>
          <w:p w:rsidR="00000000" w:rsidDel="00000000" w:rsidP="00000000" w:rsidRDefault="00000000" w:rsidRPr="00000000" w14:paraId="000000E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Seminar de sinteză; </w:t>
            </w:r>
          </w:p>
          <w:p w:rsidR="00000000" w:rsidDel="00000000" w:rsidP="00000000" w:rsidRDefault="00000000" w:rsidRPr="00000000" w14:paraId="000000E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Prezentare interviuri.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EE">
            <w:pPr>
              <w:ind w:left="176" w:firstLine="0"/>
              <w:rPr>
                <w:b w:val="1"/>
                <w:bCs w:val="1"/>
                <w:color w:val="000000"/>
              </w:rPr>
            </w:pPr>
            <w:r w:rsidDel="00000000" w:rsidR="00000000" w:rsidRPr="00000000">
              <w:rPr>
                <w:b w:val="1"/>
                <w:bCs w:val="1"/>
                <w:color w:val="000000"/>
                <w:sz w:val="22"/>
                <w:szCs w:val="22"/>
                <w:rtl w:val="0"/>
              </w:rPr>
              <w:t xml:space="preserve">Bibliografie: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F">
            <w:pPr>
              <w:ind w:left="176" w:firstLine="0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Ainscow, M. (2020). Inclusion and equity in education: Making sense of global challenges.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Prospects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49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123–134. </w:t>
            </w:r>
            <w:hyperlink r:id="rId7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https://doi.org/10.1007/s11125-020-09506-w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Ainscow, M. (2020). Promoting inclusion and equity in education: lessons from international experiences,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Nordic Journal of Studies in Educational Policy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6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(1), 7-16. DOI: </w:t>
            </w:r>
            <w:hyperlink r:id="rId8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https://doi.org/10.1080/20020317.2020.1729587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Antoninis, M., April, D., Barakat, B. et al. (2020). All means all: An introduction to the 2020 Global Education Monitoring Report on inclusion.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Prospects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49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103–109. </w:t>
            </w:r>
            <w:hyperlink r:id="rId9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https://doi.org/10.1007/s11125-020-09505-x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Gherguț, A. &amp; Frumos, L. (2019).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Educația incluzivă. Ghid metodologic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Polirom.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Gherguț, A. (2016).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Educația incluzivă și pedagogia diversității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Polirom.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Gherguț, A. (2023).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Psihopedagogie specială. Fundamete teoretice și perspective practice (ediția IV-a revizuită și adăugită)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Polirom.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Hoară, A.S. (2021)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Educația incluzivă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Tritonic, București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Jurca, A.M. &amp; Sava, S. (2023). Atitudinea directorilor de școli din România față de educația incluzivă.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Revista de Pedagogie - Journal of Pedagogy, LXXI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(2). </w:t>
            </w:r>
            <w:hyperlink r:id="rId10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https://doi.org/10.26755/RevPed/2023.2/95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Jurca, A.M.; Baciu, D.; Lustrea, A.; Sava, S. &amp; Borca, C.V. (2023). Exploring Attitudinal Dimensions of Inclusive Education: Predictive Factors among Romanian Teachers.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Educational Sciences, 13,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1224. </w:t>
            </w:r>
            <w:hyperlink r:id="rId11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https://doi.org/10.3390/educsci13121224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Jurca, A.M.; Luștrea, A. &amp; Borca, C.V. (2024). Perceptions of Educational Managers and Teachers on the Implementation of Inclusive Education in Romanian Schools.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Pod-stawy Edukacji. Education for Diversity, Equity, and Inclusion, 17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,161–190. </w:t>
            </w:r>
            <w:hyperlink r:id="rId12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http://dx.doi.org/10.16926/pe.2024.17.12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Kefallinou, A., Symeonidou, S. &amp; Meijer, C.J.W. (2020). Understanding the value of inclusive education and its implementation: A review of the literature.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Prospects 49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135–152. </w:t>
            </w:r>
            <w:hyperlink r:id="rId13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https://doi.org/10.1007/s11125-020-09500-2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Manea, A.D. (2020)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Educația incluzivă. Teorie și aplicații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Ed.Scoala Ardeleană, Cluj-Napoca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Mieghem, A.V., Verschueren, K., Petry, K. &amp; Struyf, E. (2020). An analysis of research on inclusive education: a systematic search and meta review,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International Journal of Inclusive Education, 24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:6, 675-689. </w:t>
            </w:r>
            <w:hyperlink r:id="rId14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https://doi.org/10.1080/13603116.2018.1482012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Nilholm, C. (2020). Research about inclusive education in 2020 – How can we improve our theories in order to change practice?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European Journal of Special Needs Education, 36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(3), 358-370. </w:t>
            </w:r>
            <w:hyperlink r:id="rId15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https://doi.org/10.1080/08856257.2020.1754547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1155cd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UNESCO (2015).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Incheon declaration and framework for action for the implementation of Sustainable Development Goal 4.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Paris: UNESCO. </w:t>
            </w:r>
            <w:hyperlink r:id="rId16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http://uis.unesco.org/sites/default/files/documents/education-2030-incheonframework for-action-implementation-of-sdg4-2016-en_2.pdf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896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Vrăsmaș, T. &amp; Vrăsmaș, E. (2021).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 drumul spre educația incluzivă în România: contribuția Rețelei RENINCO.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Editura Universitară  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102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Coroborarea conținuturilor disciplinei cu așteptările reprezentanților comunității epistemice, asociațiilor profesionale și angajatori reprezentativi din domeniul aferent programului</w:t>
      </w:r>
    </w:p>
    <w:tbl>
      <w:tblPr>
        <w:tblStyle w:val="Table9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Cunoașterea teoriilor și identificarea metodelor educației incluzive, precum și capacitatea de a pregăti programe de îmbunătățire a școlilor incluzive.</w:t>
            </w:r>
          </w:p>
        </w:tc>
      </w:tr>
    </w:tbl>
    <w:p w:rsidR="00000000" w:rsidDel="00000000" w:rsidP="00000000" w:rsidRDefault="00000000" w:rsidRPr="00000000" w14:paraId="000001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  <w:rtl w:val="0"/>
        </w:rPr>
        <w:t xml:space="preserve">Utilizarea instrumentelor bazate pe inteligența artificială generativă</w:t>
      </w:r>
      <w:r w:rsidDel="00000000" w:rsidR="00000000" w:rsidRPr="00000000">
        <w:rPr>
          <w:rtl w:val="0"/>
        </w:rPr>
      </w:r>
    </w:p>
    <w:tbl>
      <w:tblPr>
        <w:tblStyle w:val="Table10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1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Pentru realizarea sarcinilor definite la secțiunea de evaluare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nu este permisă utilizarea instrumentelor IAgen.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Fiecare student va preciza, într-o declarație redactată distinct pentru fiecare sarcină de lucru, conform modelului din anexa 3 a </w:t>
            </w:r>
            <w:hyperlink r:id="rId17">
              <w:r w:rsidDel="00000000" w:rsidR="00000000" w:rsidRPr="00000000">
                <w:rPr>
                  <w:rFonts w:ascii="Calibri" w:cs="Calibri" w:eastAsia="Calibri" w:hAnsi="Calibri"/>
                  <w:b w:val="0"/>
                  <w:bCs w:val="0"/>
                  <w:i w:val="1"/>
                  <w:iCs w:val="1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Regulamentului privind utilizarea inteligenței artificiale generative în procesul educațional la UVT</w:t>
              </w:r>
            </w:hyperlink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instrumentul pe care l-a utilizat, modul în care a fost utilizat și partea din sarcină în care acesta a fost utilizat. Declarația va fi menționată de student la începutul sarcinii de lucru elaborate.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Evaluare</w:t>
      </w:r>
    </w:p>
    <w:tbl>
      <w:tblPr>
        <w:tblStyle w:val="Table11"/>
        <w:tblW w:w="9378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19"/>
        <w:gridCol w:w="3150"/>
        <w:gridCol w:w="2614"/>
        <w:gridCol w:w="1695"/>
        <w:tblGridChange w:id="0">
          <w:tblGrid>
            <w:gridCol w:w="1919"/>
            <w:gridCol w:w="3150"/>
            <w:gridCol w:w="2614"/>
            <w:gridCol w:w="169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Tip activitate</w:t>
            </w:r>
          </w:p>
        </w:tc>
        <w:tc>
          <w:tcPr/>
          <w:p w:rsidR="00000000" w:rsidDel="00000000" w:rsidP="00000000" w:rsidRDefault="00000000" w:rsidRPr="00000000" w14:paraId="000001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10.1 Criterii de evaluare</w:t>
            </w:r>
          </w:p>
        </w:tc>
        <w:tc>
          <w:tcPr/>
          <w:p w:rsidR="00000000" w:rsidDel="00000000" w:rsidP="00000000" w:rsidRDefault="00000000" w:rsidRPr="00000000" w14:paraId="000001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10.2 Metode de evaluare</w:t>
            </w:r>
          </w:p>
        </w:tc>
        <w:tc>
          <w:tcPr/>
          <w:p w:rsidR="00000000" w:rsidDel="00000000" w:rsidP="00000000" w:rsidRDefault="00000000" w:rsidRPr="00000000" w14:paraId="0000011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10.3 Pondere din nota finală</w:t>
            </w:r>
          </w:p>
        </w:tc>
      </w:tr>
      <w:tr>
        <w:trPr>
          <w:cantSplit w:val="0"/>
          <w:trHeight w:val="363" w:hRule="atLeast"/>
          <w:tblHeader w:val="0"/>
        </w:trPr>
        <w:tc>
          <w:tcPr/>
          <w:p w:rsidR="00000000" w:rsidDel="00000000" w:rsidP="00000000" w:rsidRDefault="00000000" w:rsidRPr="00000000" w14:paraId="0000011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10.4 Curs</w:t>
            </w:r>
          </w:p>
        </w:tc>
        <w:tc>
          <w:tcPr/>
          <w:p w:rsidR="00000000" w:rsidDel="00000000" w:rsidP="00000000" w:rsidRDefault="00000000" w:rsidRPr="00000000" w14:paraId="000001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Cunoașterea noțiunilor de specialitate; </w:t>
            </w:r>
          </w:p>
          <w:p w:rsidR="00000000" w:rsidDel="00000000" w:rsidP="00000000" w:rsidRDefault="00000000" w:rsidRPr="00000000" w14:paraId="0000011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Operarea cu noțiuni si tehnici de incluziune educațională</w:t>
            </w:r>
          </w:p>
        </w:tc>
        <w:tc>
          <w:tcPr/>
          <w:p w:rsidR="00000000" w:rsidDel="00000000" w:rsidP="00000000" w:rsidRDefault="00000000" w:rsidRPr="00000000" w14:paraId="0000011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Test grilă </w:t>
            </w:r>
          </w:p>
        </w:tc>
        <w:tc>
          <w:tcPr/>
          <w:p w:rsidR="00000000" w:rsidDel="00000000" w:rsidP="00000000" w:rsidRDefault="00000000" w:rsidRPr="00000000" w14:paraId="000001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65%</w:t>
            </w:r>
          </w:p>
        </w:tc>
      </w:tr>
      <w:tr>
        <w:trPr>
          <w:cantSplit w:val="0"/>
          <w:trHeight w:val="567" w:hRule="atLeast"/>
          <w:tblHeader w:val="0"/>
        </w:trPr>
        <w:tc>
          <w:tcPr/>
          <w:p w:rsidR="00000000" w:rsidDel="00000000" w:rsidP="00000000" w:rsidRDefault="00000000" w:rsidRPr="00000000" w14:paraId="0000011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10.5 Seminar / laborator</w:t>
            </w:r>
          </w:p>
        </w:tc>
        <w:tc>
          <w:tcPr/>
          <w:p w:rsidR="00000000" w:rsidDel="00000000" w:rsidP="00000000" w:rsidRDefault="00000000" w:rsidRPr="00000000" w14:paraId="0000011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În realizarea interviului se va ține cont de:</w:t>
            </w:r>
          </w:p>
          <w:p w:rsidR="00000000" w:rsidDel="00000000" w:rsidP="00000000" w:rsidRDefault="00000000" w:rsidRPr="00000000" w14:paraId="000001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-Formularea unei întrebări generale care ghidează întregul interviu,</w:t>
            </w:r>
          </w:p>
          <w:p w:rsidR="00000000" w:rsidDel="00000000" w:rsidP="00000000" w:rsidRDefault="00000000" w:rsidRPr="00000000" w14:paraId="0000011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-Formularea a minim 5 întrebări pentru persoana intervievată, </w:t>
            </w:r>
          </w:p>
          <w:p w:rsidR="00000000" w:rsidDel="00000000" w:rsidP="00000000" w:rsidRDefault="00000000" w:rsidRPr="00000000" w14:paraId="0000011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-Persoana intervievată poate să fie profesor sau director de școală,</w:t>
            </w:r>
          </w:p>
          <w:p w:rsidR="00000000" w:rsidDel="00000000" w:rsidP="00000000" w:rsidRDefault="00000000" w:rsidRPr="00000000" w14:paraId="0000011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-Formularea întrebărilor (clar, coerent și concis),</w:t>
            </w:r>
          </w:p>
          <w:p w:rsidR="00000000" w:rsidDel="00000000" w:rsidP="00000000" w:rsidRDefault="00000000" w:rsidRPr="00000000" w14:paraId="000001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-Evidențierea a cel puțin un aspect teoretic regăsit/ urmărit în cadrul interviului </w:t>
            </w:r>
          </w:p>
          <w:p w:rsidR="00000000" w:rsidDel="00000000" w:rsidP="00000000" w:rsidRDefault="00000000" w:rsidRPr="00000000" w14:paraId="0000011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În prezentarea interviului se va ține cont de:</w:t>
            </w:r>
          </w:p>
          <w:p w:rsidR="00000000" w:rsidDel="00000000" w:rsidP="00000000" w:rsidRDefault="00000000" w:rsidRPr="00000000" w14:paraId="0000012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-Expunere liberă, </w:t>
            </w:r>
          </w:p>
          <w:p w:rsidR="00000000" w:rsidDel="00000000" w:rsidP="00000000" w:rsidRDefault="00000000" w:rsidRPr="00000000" w14:paraId="0000012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-Originalitate,</w:t>
            </w:r>
          </w:p>
          <w:p w:rsidR="00000000" w:rsidDel="00000000" w:rsidP="00000000" w:rsidRDefault="00000000" w:rsidRPr="00000000" w14:paraId="0000012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-Creativitate.</w:t>
            </w:r>
          </w:p>
          <w:p w:rsidR="00000000" w:rsidDel="00000000" w:rsidP="00000000" w:rsidRDefault="00000000" w:rsidRPr="00000000" w14:paraId="0000012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Interviu</w:t>
            </w:r>
          </w:p>
        </w:tc>
        <w:tc>
          <w:tcPr/>
          <w:p w:rsidR="00000000" w:rsidDel="00000000" w:rsidP="00000000" w:rsidRDefault="00000000" w:rsidRPr="00000000" w14:paraId="000001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35%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</w:tcPr>
          <w:p w:rsidR="00000000" w:rsidDel="00000000" w:rsidP="00000000" w:rsidRDefault="00000000" w:rsidRPr="00000000" w14:paraId="000001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10.6 Standard minim de performanță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</w:tcPr>
          <w:p w:rsidR="00000000" w:rsidDel="00000000" w:rsidP="00000000" w:rsidRDefault="00000000" w:rsidRPr="00000000" w14:paraId="0000012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Promovarea testului grilă cu minim nota 5,</w:t>
            </w:r>
          </w:p>
          <w:p w:rsidR="00000000" w:rsidDel="00000000" w:rsidP="00000000" w:rsidRDefault="00000000" w:rsidRPr="00000000" w14:paraId="0000012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Realizarea și prezentarea unui interviu adresat unui profesor sau director de școală.</w:t>
            </w:r>
          </w:p>
          <w:p w:rsidR="00000000" w:rsidDel="00000000" w:rsidP="00000000" w:rsidRDefault="00000000" w:rsidRPr="00000000" w14:paraId="0000012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Promovare seminar cu minim nota 5.</w:t>
            </w:r>
          </w:p>
          <w:p w:rsidR="00000000" w:rsidDel="00000000" w:rsidP="00000000" w:rsidRDefault="00000000" w:rsidRPr="00000000" w14:paraId="0000012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Prezență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curs 50% (minim 6 prezențe pentru cei care nu lucrează și 4 pentru cei care lucrează), seminar 70% (minim 4 prezențe pentru cei care nu lucrează și 3 pentru cei care lucrează)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Obs.: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Maxim o absență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poate să fie recuperată prin realizarea de sarcini suplimentare aferente seminarului/ cursului la care a lipsit studentul.</w:t>
            </w:r>
          </w:p>
        </w:tc>
      </w:tr>
    </w:tbl>
    <w:p w:rsidR="00000000" w:rsidDel="00000000" w:rsidP="00000000" w:rsidRDefault="00000000" w:rsidRPr="00000000" w14:paraId="00000132">
      <w:pPr>
        <w:jc w:val="center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completării                                                                                                         Titular de curs</w:t>
      </w:r>
    </w:p>
    <w:p w:rsidR="00000000" w:rsidDel="00000000" w:rsidP="00000000" w:rsidRDefault="00000000" w:rsidRPr="00000000" w14:paraId="00000135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29.01.2026                                                                                          Conf. univ. dr. Sorin Vlad Predescu</w:t>
      </w:r>
    </w:p>
    <w:p w:rsidR="00000000" w:rsidDel="00000000" w:rsidP="00000000" w:rsidRDefault="00000000" w:rsidRPr="00000000" w14:paraId="00000136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                                                                                                              Titular de seminar</w:t>
      </w:r>
    </w:p>
    <w:p w:rsidR="00000000" w:rsidDel="00000000" w:rsidP="00000000" w:rsidRDefault="00000000" w:rsidRPr="00000000" w14:paraId="0000013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                                                                                               Asist. univ. drd. Andra Jurca</w:t>
      </w:r>
    </w:p>
    <w:p w:rsidR="00000000" w:rsidDel="00000000" w:rsidP="00000000" w:rsidRDefault="00000000" w:rsidRPr="00000000" w14:paraId="00000139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avizării în departament                                                                            Director de departament</w:t>
      </w:r>
    </w:p>
    <w:p w:rsidR="00000000" w:rsidDel="00000000" w:rsidP="00000000" w:rsidRDefault="00000000" w:rsidRPr="00000000" w14:paraId="0000013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06.02.2026                                                                                                     Conf. univ. dr. Claudia Borca</w:t>
      </w:r>
    </w:p>
    <w:sectPr>
      <w:headerReference r:id="rId18" w:type="default"/>
      <w:headerReference r:id="rId19" w:type="first"/>
      <w:footerReference r:id="rId20" w:type="default"/>
      <w:footerReference r:id="rId21" w:type="first"/>
      <w:footerReference r:id="rId22" w:type="even"/>
      <w:pgSz w:h="16838" w:w="11906" w:orient="portrait"/>
      <w:pgMar w:bottom="1418" w:top="1814" w:left="1418" w:right="1134" w:header="289" w:footer="86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  <w:font w:name="Calibri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3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4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4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36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42">
    <w:pPr>
      <w:ind w:right="360"/>
      <w:rPr>
        <w:rFonts w:ascii="Arial Narrow" w:cs="Arial Narrow" w:eastAsia="Arial Narrow" w:hAnsi="Arial Narrow"/>
        <w:color w:val="ffffff"/>
        <w:sz w:val="22"/>
        <w:szCs w:val="22"/>
      </w:rPr>
    </w:pPr>
    <w:hyperlink r:id="rId1">
      <w:r w:rsidDel="00000000" w:rsidR="00000000" w:rsidRPr="00000000">
        <w:rPr>
          <w:rFonts w:ascii="Arial Narrow" w:cs="Arial Narrow" w:eastAsia="Arial Narrow" w:hAnsi="Arial Narrow"/>
          <w:color w:val="ffffff"/>
          <w:sz w:val="22"/>
          <w:szCs w:val="22"/>
          <w:u w:val="single"/>
          <w:rtl w:val="0"/>
        </w:rPr>
        <w:t xml:space="preserve">Website: http://www.uvt.ro/</w:t>
      </w:r>
    </w:hyperlink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"/>
              <a:graphic>
                <a:graphicData uri="http://schemas.microsoft.com/office/word/2010/wordprocessingShape">
                  <wps:wsp>
                    <wps:cNvSpPr/>
                    <wps:cNvPr id="5" name="Shape 5"/>
                    <wps:spPr>
                      <a:xfrm>
                        <a:off x="1602993" y="3452023"/>
                        <a:ext cx="748601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rgbClr val="FFFFFF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 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49554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14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4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"/>
              <a:graphic>
                <a:graphicData uri="http://schemas.microsoft.com/office/word/2010/wordprocessingShape">
                  <wps:wsp>
                    <wps:cNvSpPr/>
                    <wps:cNvPr id="4" name="Shape 4"/>
                    <wps:spPr>
                      <a:xfrm>
                        <a:off x="1702688" y="3452023"/>
                        <a:ext cx="728662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chemeClr val="lt1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9615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3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-158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bookmarkStart w:colFirst="0" w:colLast="0" w:name="_heading=h.6s39l3rxq6wl" w:id="0"/>
    <w:bookmarkEnd w:id="0"/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301489</wp:posOffset>
              </wp:positionV>
              <wp:extent cx="4760595" cy="385445"/>
              <wp:effectExtent b="0" l="0" r="0" t="0"/>
              <wp:wrapNone/>
              <wp:docPr id="36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ȘI CERCETĂRII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301489</wp:posOffset>
              </wp:positionV>
              <wp:extent cx="4760595" cy="385445"/>
              <wp:effectExtent b="0" l="0" r="0" t="0"/>
              <wp:wrapNone/>
              <wp:docPr id="3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725170</wp:posOffset>
          </wp:positionH>
          <wp:positionV relativeFrom="paragraph">
            <wp:posOffset>877619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42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-443229</wp:posOffset>
          </wp:positionH>
          <wp:positionV relativeFrom="paragraph">
            <wp:posOffset>2268</wp:posOffset>
          </wp:positionV>
          <wp:extent cx="2476500" cy="852805"/>
          <wp:effectExtent b="0" l="0" r="0" t="0"/>
          <wp:wrapNone/>
          <wp:docPr id="40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3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NAȚIONALE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723265</wp:posOffset>
          </wp:positionH>
          <wp:positionV relativeFrom="paragraph">
            <wp:posOffset>937894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39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-467359</wp:posOffset>
          </wp:positionH>
          <wp:positionV relativeFrom="paragraph">
            <wp:posOffset>60325</wp:posOffset>
          </wp:positionV>
          <wp:extent cx="2476500" cy="852805"/>
          <wp:effectExtent b="0" l="0" r="0" t="0"/>
          <wp:wrapNone/>
          <wp:docPr id="41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1.%2."/>
      <w:lvlJc w:val="left"/>
      <w:pPr>
        <w:ind w:left="720" w:hanging="360"/>
      </w:pPr>
      <w:rPr/>
    </w:lvl>
    <w:lvl w:ilvl="2">
      <w:start w:val="1"/>
      <w:numFmt w:val="decimal"/>
      <w:lvlText w:val="%1.%2.%3."/>
      <w:lvlJc w:val="left"/>
      <w:pPr>
        <w:ind w:left="1080" w:hanging="720"/>
      </w:pPr>
      <w:rPr/>
    </w:lvl>
    <w:lvl w:ilvl="3">
      <w:start w:val="1"/>
      <w:numFmt w:val="decimal"/>
      <w:lvlText w:val="%1.%2.%3.%4."/>
      <w:lvlJc w:val="left"/>
      <w:pPr>
        <w:ind w:left="1080" w:hanging="720"/>
      </w:pPr>
      <w:rPr/>
    </w:lvl>
    <w:lvl w:ilvl="4">
      <w:start w:val="1"/>
      <w:numFmt w:val="decimal"/>
      <w:lvlText w:val="%1.%2.%3.%4.%5."/>
      <w:lvlJc w:val="left"/>
      <w:pPr>
        <w:ind w:left="144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ind w:left="2160" w:hanging="1800"/>
      </w:pPr>
      <w:rPr/>
    </w:lvl>
  </w:abstractNum>
  <w:abstractNum w:abstractNumId="2">
    <w:lvl w:ilvl="0">
      <w:start w:val="1"/>
      <w:numFmt w:val="decimal"/>
      <w:lvlText w:val="%1"/>
      <w:lvlJc w:val="left"/>
      <w:pPr>
        <w:ind w:left="360" w:hanging="360"/>
      </w:pPr>
      <w:rPr/>
    </w:lvl>
    <w:lvl w:ilvl="1">
      <w:start w:val="1"/>
      <w:numFmt w:val="decimal"/>
      <w:lvlText w:val="%1.%2"/>
      <w:lvlJc w:val="left"/>
      <w:pPr>
        <w:ind w:left="360" w:hanging="360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720" w:hanging="720"/>
      </w:pPr>
      <w:rPr/>
    </w:lvl>
    <w:lvl w:ilvl="4">
      <w:start w:val="1"/>
      <w:numFmt w:val="decimal"/>
      <w:lvlText w:val="%1.%2.%3.%4.%5"/>
      <w:lvlJc w:val="left"/>
      <w:pPr>
        <w:ind w:left="1080" w:hanging="1080"/>
      </w:pPr>
      <w:rPr/>
    </w:lvl>
    <w:lvl w:ilvl="5">
      <w:start w:val="1"/>
      <w:numFmt w:val="decimal"/>
      <w:lvlText w:val="%1.%2.%3.%4.%5.%6"/>
      <w:lvlJc w:val="left"/>
      <w:pPr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440" w:hanging="144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decimal"/>
      <w:lvlText w:val="%1."/>
      <w:lvlJc w:val="left"/>
      <w:pPr>
        <w:ind w:left="502" w:hanging="360"/>
      </w:pPr>
      <w:rPr/>
    </w:lvl>
    <w:lvl w:ilvl="1">
      <w:start w:val="1"/>
      <w:numFmt w:val="lowerLetter"/>
      <w:lvlText w:val="%2."/>
      <w:lvlJc w:val="left"/>
      <w:pPr>
        <w:ind w:left="2520" w:hanging="360"/>
      </w:pPr>
      <w:rPr/>
    </w:lvl>
    <w:lvl w:ilvl="2">
      <w:start w:val="1"/>
      <w:numFmt w:val="lowerRoman"/>
      <w:lvlText w:val="%3."/>
      <w:lvlJc w:val="right"/>
      <w:pPr>
        <w:ind w:left="3240" w:hanging="180"/>
      </w:pPr>
      <w:rPr/>
    </w:lvl>
    <w:lvl w:ilvl="3">
      <w:start w:val="1"/>
      <w:numFmt w:val="decimal"/>
      <w:lvlText w:val="%4."/>
      <w:lvlJc w:val="left"/>
      <w:pPr>
        <w:ind w:left="3960" w:hanging="360"/>
      </w:pPr>
      <w:rPr/>
    </w:lvl>
    <w:lvl w:ilvl="4">
      <w:start w:val="1"/>
      <w:numFmt w:val="lowerLetter"/>
      <w:lvlText w:val="%5."/>
      <w:lvlJc w:val="left"/>
      <w:pPr>
        <w:ind w:left="4680" w:hanging="360"/>
      </w:pPr>
      <w:rPr/>
    </w:lvl>
    <w:lvl w:ilvl="5">
      <w:start w:val="1"/>
      <w:numFmt w:val="lowerRoman"/>
      <w:lvlText w:val="%6."/>
      <w:lvlJc w:val="right"/>
      <w:pPr>
        <w:ind w:left="5400" w:hanging="180"/>
      </w:pPr>
      <w:rPr/>
    </w:lvl>
    <w:lvl w:ilvl="6">
      <w:start w:val="1"/>
      <w:numFmt w:val="decimal"/>
      <w:lvlText w:val="%7."/>
      <w:lvlJc w:val="left"/>
      <w:pPr>
        <w:ind w:left="6120" w:hanging="360"/>
      </w:pPr>
      <w:rPr/>
    </w:lvl>
    <w:lvl w:ilvl="7">
      <w:start w:val="1"/>
      <w:numFmt w:val="lowerLetter"/>
      <w:lvlText w:val="%8."/>
      <w:lvlJc w:val="left"/>
      <w:pPr>
        <w:ind w:left="6840" w:hanging="360"/>
      </w:pPr>
      <w:rPr/>
    </w:lvl>
    <w:lvl w:ilvl="8">
      <w:start w:val="1"/>
      <w:numFmt w:val="lowerRoman"/>
      <w:lvlText w:val="%9."/>
      <w:lvlJc w:val="right"/>
      <w:pPr>
        <w:ind w:left="7560" w:hanging="180"/>
      </w:pPr>
      <w:rPr/>
    </w:lvl>
  </w:abstractNum>
  <w:abstractNum w:abstractNumId="8">
    <w:lvl w:ilvl="0">
      <w:start w:val="1"/>
      <w:numFmt w:val="decimal"/>
      <w:lvlText w:val="%1."/>
      <w:lvlJc w:val="left"/>
      <w:pPr>
        <w:ind w:left="896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616" w:hanging="360"/>
      </w:pPr>
      <w:rPr/>
    </w:lvl>
    <w:lvl w:ilvl="2">
      <w:start w:val="1"/>
      <w:numFmt w:val="lowerRoman"/>
      <w:lvlText w:val="%3."/>
      <w:lvlJc w:val="right"/>
      <w:pPr>
        <w:ind w:left="2336" w:hanging="180"/>
      </w:pPr>
      <w:rPr/>
    </w:lvl>
    <w:lvl w:ilvl="3">
      <w:start w:val="1"/>
      <w:numFmt w:val="decimal"/>
      <w:lvlText w:val="%4."/>
      <w:lvlJc w:val="left"/>
      <w:pPr>
        <w:ind w:left="3056" w:hanging="360"/>
      </w:pPr>
      <w:rPr/>
    </w:lvl>
    <w:lvl w:ilvl="4">
      <w:start w:val="1"/>
      <w:numFmt w:val="lowerLetter"/>
      <w:lvlText w:val="%5."/>
      <w:lvlJc w:val="left"/>
      <w:pPr>
        <w:ind w:left="3776" w:hanging="360"/>
      </w:pPr>
      <w:rPr/>
    </w:lvl>
    <w:lvl w:ilvl="5">
      <w:start w:val="1"/>
      <w:numFmt w:val="lowerRoman"/>
      <w:lvlText w:val="%6."/>
      <w:lvlJc w:val="right"/>
      <w:pPr>
        <w:ind w:left="4496" w:hanging="180"/>
      </w:pPr>
      <w:rPr/>
    </w:lvl>
    <w:lvl w:ilvl="6">
      <w:start w:val="1"/>
      <w:numFmt w:val="decimal"/>
      <w:lvlText w:val="%7."/>
      <w:lvlJc w:val="left"/>
      <w:pPr>
        <w:ind w:left="5216" w:hanging="360"/>
      </w:pPr>
      <w:rPr/>
    </w:lvl>
    <w:lvl w:ilvl="7">
      <w:start w:val="1"/>
      <w:numFmt w:val="lowerLetter"/>
      <w:lvlText w:val="%8."/>
      <w:lvlJc w:val="left"/>
      <w:pPr>
        <w:ind w:left="5936" w:hanging="360"/>
      </w:pPr>
      <w:rPr/>
    </w:lvl>
    <w:lvl w:ilvl="8">
      <w:start w:val="1"/>
      <w:numFmt w:val="lowerRoman"/>
      <w:lvlText w:val="%9."/>
      <w:lvlJc w:val="right"/>
      <w:pPr>
        <w:ind w:left="6656" w:hanging="180"/>
      </w:pPr>
      <w:rPr/>
    </w:lvl>
  </w:abstractNum>
  <w:abstractNum w:abstractNumId="9"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/>
    <w:rPr>
      <w:rFonts w:ascii="Tahoma" w:cs="Tahoma" w:eastAsia="Tahoma" w:hAnsi="Tahoma"/>
      <w:b w:val="1"/>
      <w:bCs w:val="1"/>
      <w:color w:val="ffffff"/>
      <w:sz w:val="18"/>
      <w:szCs w:val="1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bCs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keepNext w:val="1"/>
      <w:keepLines w:val="1"/>
      <w:spacing w:line="360" w:lineRule="auto"/>
    </w:pPr>
    <w:rPr>
      <w:rFonts w:ascii="Cambria" w:cs="Cambria" w:eastAsia="Cambria" w:hAnsi="Cambria"/>
      <w:b w:val="1"/>
      <w:bCs w:val="1"/>
    </w:rPr>
  </w:style>
  <w:style w:type="paragraph" w:styleId="Title">
    <w:name w:val="Title"/>
    <w:basedOn w:val="Normal"/>
    <w:next w:val="Normal"/>
    <w:pPr>
      <w:jc w:val="center"/>
    </w:pPr>
    <w:rPr>
      <w:rFonts w:ascii="Arial" w:cs="Arial" w:eastAsia="Arial" w:hAnsi="Arial"/>
      <w:b w:val="1"/>
      <w:bCs w:val="1"/>
      <w:sz w:val="22"/>
      <w:szCs w:val="22"/>
    </w:rPr>
  </w:style>
  <w:style w:type="character" w:styleId="DefaultParagraphFont" w:default="1">
    <w:name w:val="Default Paragraph Font"/>
    <w:uiPriority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locked w:val="1"/>
    <w:rsid w:val="00C81D57"/>
    <w:rPr>
      <w:rFonts w:ascii="Cambria" w:cs="Cambria" w:hAnsi="Cambria"/>
      <w:b w:val="1"/>
      <w:bCs w:val="1"/>
      <w:kern w:val="32"/>
      <w:sz w:val="32"/>
      <w:szCs w:val="32"/>
      <w:lang w:eastAsia="ro-RO" w:val="ro-RO"/>
    </w:rPr>
  </w:style>
  <w:style w:type="character" w:styleId="Heading2Char" w:customStyle="1">
    <w:name w:val="Heading 2 Char"/>
    <w:basedOn w:val="DefaultParagraphFont"/>
    <w:link w:val="Heading2"/>
    <w:uiPriority w:val="99"/>
    <w:locked w:val="1"/>
    <w:rsid w:val="00C81D57"/>
    <w:rPr>
      <w:rFonts w:ascii="Arial" w:cs="Arial" w:hAnsi="Arial"/>
      <w:b w:val="1"/>
      <w:bCs w:val="1"/>
      <w:i w:val="1"/>
      <w:iCs w:val="1"/>
      <w:sz w:val="28"/>
      <w:szCs w:val="28"/>
      <w:lang w:eastAsia="ro-RO" w:val="ro-RO"/>
    </w:rPr>
  </w:style>
  <w:style w:type="character" w:styleId="Heading3Char" w:customStyle="1">
    <w:name w:val="Heading 3 Char"/>
    <w:basedOn w:val="DefaultParagraphFont"/>
    <w:link w:val="Heading3"/>
    <w:uiPriority w:val="99"/>
    <w:locked w:val="1"/>
    <w:rsid w:val="00C81D57"/>
    <w:rPr>
      <w:rFonts w:ascii="Tahoma" w:cs="Tahoma" w:hAnsi="Tahoma"/>
      <w:b w:val="1"/>
      <w:bCs w:val="1"/>
      <w:color w:val="ffffff"/>
      <w:sz w:val="18"/>
      <w:szCs w:val="18"/>
    </w:rPr>
  </w:style>
  <w:style w:type="character" w:styleId="Heading4Char" w:customStyle="1">
    <w:name w:val="Heading 4 Char"/>
    <w:basedOn w:val="DefaultParagraphFont"/>
    <w:link w:val="Heading4"/>
    <w:uiPriority w:val="99"/>
    <w:locked w:val="1"/>
    <w:rsid w:val="0068330D"/>
    <w:rPr>
      <w:rFonts w:ascii="Calibri" w:cs="Calibri" w:hAnsi="Calibri"/>
      <w:b w:val="1"/>
      <w:bCs w:val="1"/>
      <w:sz w:val="28"/>
      <w:szCs w:val="28"/>
      <w:lang w:eastAsia="ro-RO" w:val="ro-RO"/>
    </w:rPr>
  </w:style>
  <w:style w:type="character" w:styleId="Heading5Char" w:customStyle="1">
    <w:name w:val="Heading 5 Char"/>
    <w:basedOn w:val="DefaultParagraphFont"/>
    <w:link w:val="Heading5"/>
    <w:uiPriority w:val="99"/>
    <w:locked w:val="1"/>
    <w:rsid w:val="0068330D"/>
    <w:rPr>
      <w:rFonts w:ascii="Calibri" w:cs="Calibri" w:hAnsi="Calibri"/>
      <w:b w:val="1"/>
      <w:bCs w:val="1"/>
      <w:i w:val="1"/>
      <w:iCs w:val="1"/>
      <w:sz w:val="26"/>
      <w:szCs w:val="26"/>
      <w:lang w:eastAsia="ro-RO" w:val="ro-RO"/>
    </w:rPr>
  </w:style>
  <w:style w:type="paragraph" w:styleId="Header">
    <w:name w:val="header"/>
    <w:basedOn w:val="Normal"/>
    <w:link w:val="HeaderChar"/>
    <w:uiPriority w:val="99"/>
    <w:rsid w:val="00C81D57"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Footer">
    <w:name w:val="footer"/>
    <w:basedOn w:val="Normal"/>
    <w:link w:val="FooterChar"/>
    <w:uiPriority w:val="99"/>
    <w:rsid w:val="00C81D57"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BalloonText">
    <w:name w:val="Balloon Text"/>
    <w:basedOn w:val="Normal"/>
    <w:link w:val="BalloonTextChar"/>
    <w:uiPriority w:val="99"/>
    <w:semiHidden w:val="1"/>
    <w:rsid w:val="00C81D57"/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locked w:val="1"/>
    <w:rsid w:val="00C81D57"/>
    <w:rPr>
      <w:rFonts w:ascii="Tahoma" w:cs="Tahoma" w:hAnsi="Tahoma"/>
      <w:sz w:val="16"/>
      <w:szCs w:val="16"/>
      <w:lang w:eastAsia="ro-RO" w:val="ro-RO"/>
    </w:rPr>
  </w:style>
  <w:style w:type="character" w:styleId="Hyperlink">
    <w:name w:val="Hyperlink"/>
    <w:basedOn w:val="DefaultParagraphFont"/>
    <w:uiPriority w:val="99"/>
    <w:rsid w:val="00C81D57"/>
    <w:rPr>
      <w:color w:val="0000ff"/>
      <w:u w:val="single"/>
    </w:rPr>
  </w:style>
  <w:style w:type="character" w:styleId="Strong">
    <w:name w:val="Strong"/>
    <w:basedOn w:val="DefaultParagraphFont"/>
    <w:uiPriority w:val="22"/>
    <w:qFormat w:val="1"/>
    <w:rsid w:val="00C81D57"/>
    <w:rPr>
      <w:b w:val="1"/>
      <w:bCs w:val="1"/>
    </w:rPr>
  </w:style>
  <w:style w:type="character" w:styleId="autor" w:customStyle="1">
    <w:name w:val="autor"/>
    <w:basedOn w:val="DefaultParagraphFont"/>
    <w:uiPriority w:val="99"/>
    <w:rsid w:val="00C81D57"/>
  </w:style>
  <w:style w:type="character" w:styleId="Emphasis">
    <w:name w:val="Emphasis"/>
    <w:basedOn w:val="DefaultParagraphFont"/>
    <w:uiPriority w:val="99"/>
    <w:qFormat w:val="1"/>
    <w:rsid w:val="00C81D57"/>
    <w:rPr>
      <w:i w:val="1"/>
      <w:iCs w:val="1"/>
    </w:rPr>
  </w:style>
  <w:style w:type="table" w:styleId="TableGrid">
    <w:name w:val="Table Grid"/>
    <w:basedOn w:val="TableNormal"/>
    <w:uiPriority w:val="39"/>
    <w:rsid w:val="00927661"/>
    <w:rPr>
      <w:rFonts w:cs="Calibri"/>
      <w:sz w:val="20"/>
      <w:szCs w:val="20"/>
    </w:rPr>
    <w:tblPr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</w:tblPr>
  </w:style>
  <w:style w:type="character" w:styleId="PageNumber">
    <w:name w:val="page number"/>
    <w:basedOn w:val="DefaultParagraphFont"/>
    <w:uiPriority w:val="99"/>
    <w:rsid w:val="00BC6EA0"/>
  </w:style>
  <w:style w:type="paragraph" w:styleId="NormalWeb">
    <w:name w:val="Normal (Web)"/>
    <w:basedOn w:val="Normal"/>
    <w:uiPriority w:val="99"/>
    <w:rsid w:val="00DF6E13"/>
    <w:pPr>
      <w:spacing w:after="100" w:afterAutospacing="1" w:before="100" w:beforeAutospacing="1"/>
    </w:pPr>
    <w:rPr>
      <w:rFonts w:eastAsia="Calibri"/>
      <w:lang w:eastAsia="en-US" w:val="en-US"/>
    </w:rPr>
  </w:style>
  <w:style w:type="character" w:styleId="articol" w:customStyle="1">
    <w:name w:val="articol"/>
    <w:basedOn w:val="DefaultParagraphFont"/>
    <w:uiPriority w:val="99"/>
    <w:rsid w:val="00DF6E13"/>
  </w:style>
  <w:style w:type="character" w:styleId="alineat" w:customStyle="1">
    <w:name w:val="alineat"/>
    <w:basedOn w:val="DefaultParagraphFont"/>
    <w:uiPriority w:val="99"/>
    <w:rsid w:val="00DF6E13"/>
  </w:style>
  <w:style w:type="character" w:styleId="litera" w:customStyle="1">
    <w:name w:val="litera"/>
    <w:basedOn w:val="DefaultParagraphFont"/>
    <w:uiPriority w:val="99"/>
    <w:rsid w:val="00DF6E13"/>
  </w:style>
  <w:style w:type="character" w:styleId="preambul" w:customStyle="1">
    <w:name w:val="preambul"/>
    <w:basedOn w:val="DefaultParagraphFont"/>
    <w:uiPriority w:val="99"/>
    <w:rsid w:val="00DF6E13"/>
  </w:style>
  <w:style w:type="character" w:styleId="punct" w:customStyle="1">
    <w:name w:val="punct"/>
    <w:basedOn w:val="DefaultParagraphFont"/>
    <w:uiPriority w:val="99"/>
    <w:rsid w:val="00DF6E13"/>
  </w:style>
  <w:style w:type="character" w:styleId="paragraf" w:customStyle="1">
    <w:name w:val="paragraf"/>
    <w:basedOn w:val="DefaultParagraphFont"/>
    <w:uiPriority w:val="99"/>
    <w:rsid w:val="00DF6E13"/>
  </w:style>
  <w:style w:type="character" w:styleId="searchidx2" w:customStyle="1">
    <w:name w:val="search_idx_2"/>
    <w:basedOn w:val="DefaultParagraphFont"/>
    <w:uiPriority w:val="99"/>
    <w:rsid w:val="00DF6E13"/>
  </w:style>
  <w:style w:type="character" w:styleId="searchidx0" w:customStyle="1">
    <w:name w:val="search_idx_0"/>
    <w:basedOn w:val="DefaultParagraphFont"/>
    <w:uiPriority w:val="99"/>
    <w:rsid w:val="00DF6E13"/>
  </w:style>
  <w:style w:type="character" w:styleId="searchidx1" w:customStyle="1">
    <w:name w:val="search_idx_1"/>
    <w:basedOn w:val="DefaultParagraphFont"/>
    <w:uiPriority w:val="99"/>
    <w:rsid w:val="00DF6E13"/>
  </w:style>
  <w:style w:type="character" w:styleId="tabel" w:customStyle="1">
    <w:name w:val="tabel"/>
    <w:basedOn w:val="DefaultParagraphFont"/>
    <w:uiPriority w:val="99"/>
    <w:rsid w:val="00DF6E13"/>
  </w:style>
  <w:style w:type="paragraph" w:styleId="HTMLPreformatted">
    <w:name w:val="HTML Preformatted"/>
    <w:basedOn w:val="Normal"/>
    <w:link w:val="HTMLPreformattedChar"/>
    <w:uiPriority w:val="99"/>
    <w:rsid w:val="00DF6E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cs="Courier New" w:eastAsia="Calibri" w:hAnsi="Courier New"/>
      <w:sz w:val="20"/>
      <w:szCs w:val="20"/>
      <w:lang w:eastAsia="en-US" w:val="en-US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locked w:val="1"/>
    <w:rsid w:val="00650125"/>
    <w:rPr>
      <w:rFonts w:ascii="Courier New" w:cs="Courier New" w:hAnsi="Courier New"/>
      <w:sz w:val="20"/>
      <w:szCs w:val="20"/>
      <w:lang w:eastAsia="ro-RO" w:val="ro-RO"/>
    </w:rPr>
  </w:style>
  <w:style w:type="paragraph" w:styleId="ListParagraph">
    <w:name w:val="List Paragraph"/>
    <w:basedOn w:val="Normal"/>
    <w:uiPriority w:val="34"/>
    <w:qFormat w:val="1"/>
    <w:rsid w:val="000C2457"/>
    <w:pPr>
      <w:ind w:left="720"/>
      <w:contextualSpacing w:val="1"/>
    </w:pPr>
  </w:style>
  <w:style w:type="character" w:styleId="SubtitleChar" w:customStyle="1">
    <w:name w:val="Subtitle Char"/>
    <w:basedOn w:val="DefaultParagraphFont"/>
    <w:link w:val="Subtitle"/>
    <w:rsid w:val="009B3389"/>
    <w:rPr>
      <w:rFonts w:asciiTheme="minorHAnsi" w:cstheme="minorBidi" w:eastAsiaTheme="minorEastAsia" w:hAnsiTheme="minorHAnsi"/>
      <w:color w:val="5a5a5a" w:themeColor="text1" w:themeTint="0000A5"/>
      <w:spacing w:val="15"/>
      <w:lang w:eastAsia="ro-RO" w:val="ro-RO"/>
    </w:rPr>
  </w:style>
  <w:style w:type="character" w:styleId="Heading6Char" w:customStyle="1">
    <w:name w:val="Heading 6 Char"/>
    <w:basedOn w:val="DefaultParagraphFont"/>
    <w:link w:val="Heading6"/>
    <w:uiPriority w:val="9"/>
    <w:rsid w:val="000458CE"/>
    <w:rPr>
      <w:rFonts w:asciiTheme="majorHAnsi" w:eastAsiaTheme="majorEastAsia" w:hAnsiTheme="majorHAnsi"/>
      <w:b w:val="1"/>
      <w:sz w:val="24"/>
      <w:szCs w:val="20"/>
      <w:lang w:eastAsia="ro-RO" w:val="ro-RO"/>
    </w:rPr>
  </w:style>
  <w:style w:type="paragraph" w:styleId="FootnoteText">
    <w:name w:val="footnote text"/>
    <w:basedOn w:val="Normal"/>
    <w:link w:val="FootnoteTextChar"/>
    <w:uiPriority w:val="99"/>
    <w:semiHidden w:val="1"/>
    <w:unhideWhenUsed w:val="1"/>
    <w:rsid w:val="000458CE"/>
    <w:rPr>
      <w:rFonts w:asciiTheme="minorHAnsi" w:hAnsiTheme="minorHAnsi"/>
      <w:sz w:val="20"/>
      <w:szCs w:val="20"/>
      <w:lang w:eastAsia="en-US"/>
    </w:rPr>
  </w:style>
  <w:style w:type="character" w:styleId="FootnoteTextChar" w:customStyle="1">
    <w:name w:val="Footnote Text Char"/>
    <w:basedOn w:val="DefaultParagraphFont"/>
    <w:link w:val="FootnoteText"/>
    <w:uiPriority w:val="99"/>
    <w:semiHidden w:val="1"/>
    <w:rsid w:val="000458CE"/>
    <w:rPr>
      <w:rFonts w:eastAsia="Times New Roman" w:asciiTheme="minorHAnsi" w:hAnsiTheme="minorHAnsi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 w:val="1"/>
    <w:unhideWhenUsed w:val="1"/>
    <w:rsid w:val="000458CE"/>
    <w:rPr>
      <w:rFonts w:cs="Times New Roman"/>
      <w:vertAlign w:val="superscript"/>
    </w:rPr>
  </w:style>
  <w:style w:type="table" w:styleId="TableGrid1" w:customStyle="1">
    <w:name w:val="Table Grid1"/>
    <w:basedOn w:val="TableNormal"/>
    <w:next w:val="TableGrid"/>
    <w:uiPriority w:val="59"/>
    <w:rsid w:val="000458CE"/>
    <w:rPr>
      <w:rFonts w:eastAsia="Times New Roman"/>
      <w:sz w:val="20"/>
      <w:szCs w:val="20"/>
    </w:rPr>
    <w:tblPr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</w:tblPr>
  </w:style>
  <w:style w:type="character" w:styleId="grey" w:customStyle="1">
    <w:name w:val="grey"/>
    <w:basedOn w:val="DefaultParagraphFont"/>
    <w:rsid w:val="000458CE"/>
    <w:rPr>
      <w:rFonts w:cs="Times New Roman"/>
    </w:rPr>
  </w:style>
  <w:style w:type="character" w:styleId="titlu" w:customStyle="1">
    <w:name w:val="titlu"/>
    <w:basedOn w:val="DefaultParagraphFont"/>
    <w:rsid w:val="000458CE"/>
    <w:rPr>
      <w:rFonts w:cs="Times New Roman"/>
    </w:rPr>
  </w:style>
  <w:style w:type="character" w:styleId="lead" w:customStyle="1">
    <w:name w:val="lead"/>
    <w:basedOn w:val="DefaultParagraphFont"/>
    <w:rsid w:val="000458CE"/>
    <w:rPr>
      <w:rFonts w:cs="Times New Roman"/>
    </w:rPr>
  </w:style>
  <w:style w:type="paragraph" w:styleId="NoSpacing">
    <w:name w:val="No Spacing"/>
    <w:uiPriority w:val="1"/>
    <w:qFormat w:val="1"/>
    <w:rsid w:val="000458CE"/>
    <w:rPr>
      <w:rFonts w:eastAsia="Times New Roman"/>
    </w:rPr>
  </w:style>
  <w:style w:type="paragraph" w:styleId="Default" w:customStyle="1">
    <w:name w:val="Default"/>
    <w:rsid w:val="000458CE"/>
    <w:pPr>
      <w:autoSpaceDE w:val="0"/>
      <w:autoSpaceDN w:val="0"/>
      <w:adjustRightInd w:val="0"/>
    </w:pPr>
    <w:rPr>
      <w:rFonts w:cs="Calibri" w:eastAsia="Times New Roman"/>
      <w:color w:val="000000"/>
      <w:sz w:val="24"/>
      <w:szCs w:val="24"/>
    </w:rPr>
  </w:style>
  <w:style w:type="character" w:styleId="articlecontent" w:customStyle="1">
    <w:name w:val="article_content"/>
    <w:basedOn w:val="DefaultParagraphFont"/>
    <w:rsid w:val="000458CE"/>
    <w:rPr>
      <w:rFonts w:cs="Times New Roman"/>
    </w:rPr>
  </w:style>
  <w:style w:type="character" w:styleId="TitleChar" w:customStyle="1">
    <w:name w:val="Title Char"/>
    <w:basedOn w:val="DefaultParagraphFont"/>
    <w:link w:val="Title"/>
    <w:uiPriority w:val="10"/>
    <w:rsid w:val="000458CE"/>
    <w:rPr>
      <w:rFonts w:ascii="Arial" w:hAnsi="Arial" w:eastAsiaTheme="majorEastAsia"/>
      <w:b w:val="1"/>
      <w:spacing w:val="-10"/>
      <w:kern w:val="28"/>
      <w:szCs w:val="56"/>
      <w:lang w:eastAsia="ro-RO" w:val="ro-RO"/>
    </w:rPr>
  </w:style>
  <w:style w:type="paragraph" w:styleId="TOCHeading">
    <w:name w:val="TOC Heading"/>
    <w:basedOn w:val="Heading1"/>
    <w:next w:val="Normal"/>
    <w:uiPriority w:val="39"/>
    <w:unhideWhenUsed w:val="1"/>
    <w:qFormat w:val="1"/>
    <w:rsid w:val="000458CE"/>
    <w:pPr>
      <w:keepLines w:val="1"/>
      <w:spacing w:after="0" w:line="259" w:lineRule="auto"/>
      <w:jc w:val="center"/>
      <w:outlineLvl w:val="9"/>
    </w:pPr>
    <w:rPr>
      <w:rFonts w:cs="Times New Roman" w:asciiTheme="majorHAnsi" w:eastAsiaTheme="majorEastAsia" w:hAnsiTheme="majorHAnsi"/>
      <w:b w:val="0"/>
      <w:bCs w:val="0"/>
      <w:color w:val="365f91" w:themeColor="accent1" w:themeShade="0000BF"/>
      <w:kern w:val="0"/>
      <w:lang w:eastAsia="en-US" w:val="en-US"/>
    </w:rPr>
  </w:style>
  <w:style w:type="paragraph" w:styleId="TOC1">
    <w:name w:val="toc 1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textAlignment w:val="baseline"/>
    </w:pPr>
    <w:rPr>
      <w:szCs w:val="20"/>
    </w:rPr>
  </w:style>
  <w:style w:type="paragraph" w:styleId="TOC2">
    <w:name w:val="toc 2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240"/>
      <w:textAlignment w:val="baseline"/>
    </w:pPr>
    <w:rPr>
      <w:szCs w:val="20"/>
    </w:rPr>
  </w:style>
  <w:style w:type="paragraph" w:styleId="TOC3">
    <w:name w:val="toc 3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480"/>
      <w:textAlignment w:val="baseline"/>
    </w:pPr>
    <w:rPr>
      <w:szCs w:val="20"/>
    </w:rPr>
  </w:style>
  <w:style w:type="paragraph" w:styleId="TOC4">
    <w:name w:val="toc 4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720"/>
      <w:textAlignment w:val="baseline"/>
    </w:pPr>
    <w:rPr>
      <w:szCs w:val="20"/>
    </w:rPr>
  </w:style>
  <w:style w:type="paragraph" w:styleId="TOC5">
    <w:name w:val="toc 5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960"/>
      <w:textAlignment w:val="baseline"/>
    </w:pPr>
    <w:rPr>
      <w:szCs w:val="20"/>
    </w:rPr>
  </w:style>
  <w:style w:type="paragraph" w:styleId="TOC6">
    <w:name w:val="toc 6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1200"/>
      <w:textAlignment w:val="baseline"/>
    </w:pPr>
    <w:rPr>
      <w:szCs w:val="20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0458CE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0458CE"/>
    <w:rPr>
      <w:rFonts w:ascii="Times New Roman" w:eastAsia="Times New Roman" w:hAnsi="Times New Roman"/>
      <w:sz w:val="20"/>
      <w:szCs w:val="20"/>
      <w:lang w:eastAsia="ro-RO" w:val="ro-RO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locked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0458CE"/>
    <w:rPr>
      <w:b w:val="1"/>
      <w:bCs w:val="1"/>
    </w:rPr>
  </w:style>
  <w:style w:type="character" w:styleId="CommentSubjectChar1" w:customStyle="1">
    <w:name w:val="Comment Subject Char1"/>
    <w:basedOn w:val="CommentTextChar"/>
    <w:uiPriority w:val="99"/>
    <w:semiHidden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character" w:styleId="CommentSubjectChar11" w:customStyle="1">
    <w:name w:val="Comment Subject Char11"/>
    <w:basedOn w:val="CommentTextChar"/>
    <w:uiPriority w:val="99"/>
    <w:semiHidden w:val="1"/>
    <w:rsid w:val="000458CE"/>
    <w:rPr>
      <w:rFonts w:ascii="Times New Roman" w:cs="Times New Roman" w:eastAsia="Times New Roman" w:hAnsi="Times New Roman"/>
      <w:b w:val="1"/>
      <w:bCs w:val="1"/>
      <w:sz w:val="20"/>
      <w:szCs w:val="20"/>
      <w:lang w:eastAsia="ro-RO" w:val="ro-RO"/>
    </w:rPr>
  </w:style>
  <w:style w:type="table" w:styleId="GridTable1Light-Accent11" w:customStyle="1">
    <w:name w:val="Grid Table 1 Light - Accent 11"/>
    <w:basedOn w:val="TableNormal"/>
    <w:uiPriority w:val="46"/>
    <w:rsid w:val="000458CE"/>
    <w:rPr>
      <w:rFonts w:eastAsia="Times New Roman" w:asciiTheme="minorHAnsi" w:hAnsiTheme="minorHAnsi"/>
      <w:lang w:val="ro-RO"/>
    </w:rPr>
    <w:tblPr>
      <w:tblStyleRowBandSize w:val="1"/>
      <w:tblStyleColBandSize w:val="1"/>
      <w:tblBorders>
        <w:top w:color="b8cce4" w:space="0" w:sz="4" w:themeColor="accent1" w:themeTint="000066" w:val="single"/>
        <w:left w:color="b8cce4" w:space="0" w:sz="4" w:themeColor="accent1" w:themeTint="000066" w:val="single"/>
        <w:bottom w:color="b8cce4" w:space="0" w:sz="4" w:themeColor="accent1" w:themeTint="000066" w:val="single"/>
        <w:right w:color="b8cce4" w:space="0" w:sz="4" w:themeColor="accent1" w:themeTint="000066" w:val="single"/>
        <w:insideH w:color="b8cce4" w:space="0" w:sz="4" w:themeColor="accent1" w:themeTint="000066" w:val="single"/>
        <w:insideV w:color="b8cce4" w:space="0" w:sz="4" w:themeColor="accent1" w:themeTint="000066" w:val="single"/>
      </w:tblBorders>
    </w:tblPr>
    <w:tblStylePr w:type="firstRow">
      <w:rPr>
        <w:rFonts w:cs="Times New Roman"/>
        <w:b w:val="1"/>
        <w:bCs w:val="1"/>
      </w:rPr>
      <w:tblPr/>
      <w:tcPr>
        <w:tcBorders>
          <w:bottom w:color="95b3d7" w:space="0" w:sz="12" w:themeColor="accent1" w:themeTint="000099" w:val="single"/>
        </w:tcBorders>
      </w:tcPr>
    </w:tblStylePr>
    <w:tblStylePr w:type="lastRow">
      <w:rPr>
        <w:rFonts w:cs="Times New Roman"/>
        <w:b w:val="1"/>
        <w:bCs w:val="1"/>
      </w:rPr>
      <w:tblPr/>
      <w:tcPr>
        <w:tcBorders>
          <w:top w:color="95b3d7" w:space="0" w:sz="2" w:themeColor="accent1" w:themeTint="000099" w:val="double"/>
        </w:tcBorders>
      </w:tcPr>
    </w:tblStylePr>
    <w:tblStylePr w:type="firstCol">
      <w:rPr>
        <w:rFonts w:cs="Times New Roman"/>
        <w:b w:val="1"/>
        <w:bCs w:val="1"/>
      </w:rPr>
    </w:tblStylePr>
    <w:tblStylePr w:type="lastCol">
      <w:rPr>
        <w:rFonts w:cs="Times New Roman"/>
        <w:b w:val="1"/>
        <w:bCs w:val="1"/>
      </w:rPr>
    </w:tblStyle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0458CE"/>
    <w:rPr>
      <w:rFonts w:cs="Times New Roman"/>
      <w:color w:val="605e5c"/>
      <w:shd w:color="auto" w:fill="e1dfdd" w:val="clear"/>
    </w:rPr>
  </w:style>
  <w:style w:type="paragraph" w:styleId="Tabel0" w:customStyle="1">
    <w:name w:val="Tabel"/>
    <w:basedOn w:val="Normal"/>
    <w:qFormat w:val="1"/>
    <w:rsid w:val="000458CE"/>
    <w:pPr>
      <w:autoSpaceDE w:val="0"/>
      <w:autoSpaceDN w:val="0"/>
      <w:adjustRightInd w:val="0"/>
      <w:spacing w:after="120" w:line="276" w:lineRule="auto"/>
      <w:jc w:val="center"/>
    </w:pPr>
    <w:rPr>
      <w:rFonts w:ascii="Calibri" w:cs="Calibri" w:hAnsi="Calibri"/>
      <w:bCs w:val="1"/>
      <w:noProof w:val="1"/>
      <w:color w:val="548dd4" w:themeColor="text2" w:themeTint="000099"/>
      <w:sz w:val="20"/>
      <w:szCs w:val="18"/>
    </w:rPr>
  </w:style>
  <w:style w:type="paragraph" w:styleId="Raport-body-6after" w:customStyle="1">
    <w:name w:val="Raport-body-6after"/>
    <w:basedOn w:val="Normal"/>
    <w:qFormat w:val="1"/>
    <w:rsid w:val="000458CE"/>
    <w:pPr>
      <w:autoSpaceDE w:val="0"/>
      <w:autoSpaceDN w:val="0"/>
      <w:adjustRightInd w:val="0"/>
      <w:spacing w:after="120"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paragraph" w:styleId="Figuri" w:customStyle="1">
    <w:name w:val="Figuri"/>
    <w:basedOn w:val="Normal"/>
    <w:qFormat w:val="1"/>
    <w:rsid w:val="000458CE"/>
    <w:pPr>
      <w:spacing w:after="120" w:line="276" w:lineRule="auto"/>
      <w:jc w:val="center"/>
    </w:pPr>
    <w:rPr>
      <w:rFonts w:ascii="Calibri" w:cs="Calibri" w:hAnsi="Calibri"/>
      <w:i w:val="1"/>
      <w:color w:val="548dd4" w:themeColor="text2" w:themeTint="000099"/>
      <w:sz w:val="20"/>
      <w:szCs w:val="16"/>
    </w:rPr>
  </w:style>
  <w:style w:type="paragraph" w:styleId="Raport-body" w:customStyle="1">
    <w:name w:val="Raport-body"/>
    <w:basedOn w:val="Normal"/>
    <w:qFormat w:val="1"/>
    <w:rsid w:val="000458CE"/>
    <w:pPr>
      <w:autoSpaceDE w:val="0"/>
      <w:autoSpaceDN w:val="0"/>
      <w:adjustRightInd w:val="0"/>
      <w:spacing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character" w:styleId="apple-converted-space" w:customStyle="1">
    <w:name w:val="apple-converted-space"/>
    <w:basedOn w:val="DefaultParagraphFont"/>
    <w:rsid w:val="000458CE"/>
    <w:rPr>
      <w:rFonts w:cs="Times New Roman"/>
    </w:rPr>
  </w:style>
  <w:style w:type="paragraph" w:styleId="BodyA" w:customStyle="1">
    <w:name w:val="Body A"/>
    <w:rsid w:val="005C3E29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  <w:bar w:space="0" w:sz="0" w:val="nil"/>
      </w:pBdr>
    </w:pPr>
    <w:rPr>
      <w:rFonts w:ascii="Helvetica Neue" w:cs="Arial Unicode MS" w:eastAsia="Arial Unicode MS" w:hAnsi="Helvetica Neue"/>
      <w:color w:val="000000"/>
      <w:u w:color="000000"/>
      <w:bdr w:space="0" w:sz="0" w:val="nil"/>
      <w:lang w:eastAsia="en-GB" w:val="en-GB"/>
    </w:rPr>
  </w:style>
  <w:style w:type="character" w:styleId="FollowedHyperlink">
    <w:name w:val="FollowedHyperlink"/>
    <w:basedOn w:val="DefaultParagraphFont"/>
    <w:uiPriority w:val="99"/>
    <w:semiHidden w:val="1"/>
    <w:unhideWhenUsed w:val="1"/>
    <w:rsid w:val="00510990"/>
    <w:rPr>
      <w:color w:val="800080" w:themeColor="followedHyperlink"/>
      <w:u w:val="single"/>
    </w:rPr>
  </w:style>
  <w:style w:type="paragraph" w:styleId="Subtitle">
    <w:name w:val="Subtitle"/>
    <w:basedOn w:val="Normal"/>
    <w:next w:val="Normal"/>
    <w:pPr>
      <w:spacing w:after="160" w:lineRule="auto"/>
    </w:pPr>
    <w:rPr>
      <w:rFonts w:ascii="Calibri" w:cs="Calibri" w:eastAsia="Calibri" w:hAnsi="Calibri"/>
      <w:color w:val="5a5a5a"/>
      <w:sz w:val="22"/>
      <w:szCs w:val="22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footer" Target="footer2.xml"/><Relationship Id="rId11" Type="http://schemas.openxmlformats.org/officeDocument/2006/relationships/hyperlink" Target="https://doi.org/10.3390/educsci13121224" TargetMode="External"/><Relationship Id="rId22" Type="http://schemas.openxmlformats.org/officeDocument/2006/relationships/footer" Target="footer1.xml"/><Relationship Id="rId10" Type="http://schemas.openxmlformats.org/officeDocument/2006/relationships/hyperlink" Target="https://doi.org/10.26755/RevPed/2023.2/95" TargetMode="External"/><Relationship Id="rId21" Type="http://schemas.openxmlformats.org/officeDocument/2006/relationships/footer" Target="footer3.xml"/><Relationship Id="rId13" Type="http://schemas.openxmlformats.org/officeDocument/2006/relationships/hyperlink" Target="https://doi.org/10.1007/s11125-020-09500-2" TargetMode="External"/><Relationship Id="rId12" Type="http://schemas.openxmlformats.org/officeDocument/2006/relationships/hyperlink" Target="http://dx.doi.org/10.16926/pe.2024.17.12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doi.org/10.1007/s11125-020-09505-x" TargetMode="External"/><Relationship Id="rId15" Type="http://schemas.openxmlformats.org/officeDocument/2006/relationships/hyperlink" Target="https://doi.org/10.1080/08856257.2020.1754547" TargetMode="External"/><Relationship Id="rId14" Type="http://schemas.openxmlformats.org/officeDocument/2006/relationships/hyperlink" Target="https://doi.org/10.1080/13603116.2018.1482012" TargetMode="External"/><Relationship Id="rId17" Type="http://schemas.openxmlformats.org/officeDocument/2006/relationships/hyperlink" Target="https://www.uvt.ro/wp-content/uploads/sites/3/2026/01/Regulament-UVT_Utilizarea-AI-in-educatie.pdf" TargetMode="External"/><Relationship Id="rId16" Type="http://schemas.openxmlformats.org/officeDocument/2006/relationships/hyperlink" Target="http://uis.unesco.org/sites/default/files/documents/education-2030-incheonframework%20for-action-implementation-of-sdg4-2016-en_2.pdf" TargetMode="External"/><Relationship Id="rId5" Type="http://schemas.openxmlformats.org/officeDocument/2006/relationships/styles" Target="styles.xml"/><Relationship Id="rId19" Type="http://schemas.openxmlformats.org/officeDocument/2006/relationships/header" Target="header2.xml"/><Relationship Id="rId6" Type="http://schemas.openxmlformats.org/officeDocument/2006/relationships/customXml" Target="../customXML/item1.xml"/><Relationship Id="rId18" Type="http://schemas.openxmlformats.org/officeDocument/2006/relationships/header" Target="header1.xml"/><Relationship Id="rId7" Type="http://schemas.openxmlformats.org/officeDocument/2006/relationships/hyperlink" Target="https://doi.org/10.1007/s11125-020-09506-w" TargetMode="External"/><Relationship Id="rId8" Type="http://schemas.openxmlformats.org/officeDocument/2006/relationships/hyperlink" Target="https://doi.org/10.1080/20020317.2020.1729587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about:blank" TargetMode="External"/><Relationship Id="rId2" Type="http://schemas.openxmlformats.org/officeDocument/2006/relationships/image" Target="media/image3.png"/></Relationships>
</file>

<file path=word/_rels/footer3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0bM+GLaoJov7m1EOMK7/Cf3Y4g==">CgMxLjAyDmguNnMzOWwzcnhxNndsOAByITFtNUJPOC1hYm1iSmtQanp2dUFUWEdMd3RGVVc2SGxObw==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2026-01-20T13:22:00Z</dcterms:created>
</cp:coreProperties>
</file>